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20380040"/>
    <w:p w:rsidR="00E323F0" w:rsidRPr="00E323F0" w:rsidRDefault="00E323F0" w:rsidP="00E323F0">
      <w:pPr>
        <w:tabs>
          <w:tab w:val="left" w:pos="5610"/>
        </w:tabs>
        <w:spacing w:after="0"/>
        <w:jc w:val="center"/>
        <w:rPr>
          <w:rFonts w:asciiTheme="minorHAnsi" w:eastAsiaTheme="minorHAnsi" w:hAnsiTheme="minorHAnsi" w:cstheme="minorBidi"/>
          <w:b/>
          <w:sz w:val="40"/>
          <w:szCs w:val="40"/>
        </w:rPr>
      </w:pPr>
      <w:r>
        <w:rPr>
          <w:b/>
        </w:rPr>
        <w:fldChar w:fldCharType="begin"/>
      </w:r>
      <w:r>
        <w:rPr>
          <w:b/>
        </w:rPr>
        <w:instrText xml:space="preserve"> HYPERLINK "http://www.itimac.org" </w:instrText>
      </w:r>
      <w:r>
        <w:rPr>
          <w:b/>
        </w:rPr>
        <w:fldChar w:fldCharType="separate"/>
      </w:r>
      <w:r>
        <w:rPr>
          <w:rStyle w:val="Lienhypertexte"/>
          <w:rFonts w:asciiTheme="minorHAnsi" w:eastAsiaTheme="minorHAnsi" w:hAnsiTheme="minorHAnsi" w:cstheme="minorBidi"/>
          <w:b/>
          <w:sz w:val="40"/>
          <w:szCs w:val="40"/>
        </w:rPr>
        <w:t>www.itimac.org</w:t>
      </w:r>
      <w:r>
        <w:rPr>
          <w:b/>
        </w:rPr>
        <w:fldChar w:fldCharType="end"/>
      </w:r>
      <w:bookmarkStart w:id="1" w:name="_GoBack"/>
      <w:bookmarkEnd w:id="1"/>
    </w:p>
    <w:p w:rsidR="00427F27" w:rsidRPr="000F5007" w:rsidRDefault="000F5007" w:rsidP="000F5007">
      <w:pPr>
        <w:pStyle w:val="StyleTitre1VerdanaBasSimpleAutomatique05ptpaisse"/>
      </w:pPr>
      <w:r w:rsidRPr="000F5007">
        <w:t>Fiche technique n°01</w:t>
      </w:r>
      <w:r w:rsidR="00427F27" w:rsidRPr="000F5007">
        <w:t xml:space="preserve"> : </w:t>
      </w:r>
      <w:r w:rsidRPr="000F5007">
        <w:t>Généralités sur l</w:t>
      </w:r>
      <w:bookmarkEnd w:id="0"/>
      <w:r w:rsidR="00427F27" w:rsidRPr="000F5007">
        <w:t>es productions animales</w:t>
      </w:r>
    </w:p>
    <w:p w:rsidR="00427F27" w:rsidRPr="002F3184" w:rsidRDefault="00427F27" w:rsidP="00427F27">
      <w:pPr>
        <w:keepNext/>
        <w:numPr>
          <w:ilvl w:val="1"/>
          <w:numId w:val="0"/>
        </w:numPr>
        <w:spacing w:before="240" w:after="240" w:line="240" w:lineRule="auto"/>
        <w:outlineLvl w:val="1"/>
        <w:rPr>
          <w:rFonts w:ascii="Times New Roman" w:eastAsia="Times New Roman" w:hAnsi="Times New Roman"/>
          <w:b/>
          <w:iCs/>
          <w:sz w:val="24"/>
          <w:szCs w:val="24"/>
          <w:lang w:val="en-US" w:eastAsia="fr-FR"/>
        </w:rPr>
      </w:pPr>
      <w:bookmarkStart w:id="2" w:name="_Toc220380041"/>
      <w:r>
        <w:rPr>
          <w:rFonts w:ascii="Times New Roman" w:eastAsia="Times New Roman" w:hAnsi="Times New Roman"/>
          <w:b/>
          <w:bCs/>
          <w:iCs/>
          <w:sz w:val="32"/>
          <w:szCs w:val="28"/>
          <w:lang w:val="en-US" w:eastAsia="fr-FR"/>
        </w:rPr>
        <w:t>DIAGNOSTIC DES SYSTEMES D’ELEVAGE</w:t>
      </w:r>
    </w:p>
    <w:bookmarkEnd w:id="2"/>
    <w:p w:rsidR="00427F27" w:rsidRPr="004D506B" w:rsidRDefault="00427F27" w:rsidP="00427F27">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Avant toute intervention visant l’amélioration d’un système d’élevage, il est indispensable de rechercher les causes de son ancrage tel qu’il est pratiqué par les éleveurs dans l’environnement considéré. Les systèmes d’élevage tels que mis en œuvre, résultent d’interactions environnementales, sociales, économiques, auxquelles se greffe le niveau de technicité des éleveurs. Entreprendre d’améliorer un système reviendra à anticiper sur l’impact de notre action dans le milieu. Il existe des systèmes d’élevage très divers. Pour les différencier, on a recours aux critères suivants :</w:t>
      </w:r>
    </w:p>
    <w:p w:rsidR="00427F27" w:rsidRPr="004D506B" w:rsidRDefault="00427F27" w:rsidP="00427F27">
      <w:pPr>
        <w:numPr>
          <w:ilvl w:val="0"/>
          <w:numId w:val="1"/>
        </w:numPr>
        <w:spacing w:after="0" w:line="240" w:lineRule="auto"/>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La mobilité des animaux dans l’espace ;</w:t>
      </w:r>
    </w:p>
    <w:p w:rsidR="00427F27" w:rsidRPr="004D506B" w:rsidRDefault="00427F27" w:rsidP="00427F27">
      <w:pPr>
        <w:numPr>
          <w:ilvl w:val="0"/>
          <w:numId w:val="1"/>
        </w:numPr>
        <w:spacing w:after="0" w:line="240" w:lineRule="auto"/>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Les critères techniques ;</w:t>
      </w:r>
    </w:p>
    <w:p w:rsidR="00427F27" w:rsidRPr="004D506B" w:rsidRDefault="00427F27" w:rsidP="00427F27">
      <w:pPr>
        <w:numPr>
          <w:ilvl w:val="0"/>
          <w:numId w:val="1"/>
        </w:numPr>
        <w:spacing w:after="0" w:line="240" w:lineRule="auto"/>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Les critères d’intensification ;</w:t>
      </w:r>
    </w:p>
    <w:p w:rsidR="00427F27" w:rsidRPr="004D506B" w:rsidRDefault="00427F27" w:rsidP="00427F27">
      <w:pPr>
        <w:numPr>
          <w:ilvl w:val="0"/>
          <w:numId w:val="1"/>
        </w:numPr>
        <w:spacing w:after="0" w:line="240" w:lineRule="auto"/>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Les critères agro écologiques ;</w:t>
      </w:r>
    </w:p>
    <w:p w:rsidR="00427F27" w:rsidRPr="004D506B" w:rsidRDefault="00427F27" w:rsidP="00427F27">
      <w:pPr>
        <w:numPr>
          <w:ilvl w:val="0"/>
          <w:numId w:val="1"/>
        </w:numPr>
        <w:spacing w:after="0" w:line="240" w:lineRule="auto"/>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Les critères économiques.</w:t>
      </w:r>
    </w:p>
    <w:p w:rsidR="00427F27" w:rsidRPr="004D506B" w:rsidRDefault="00427F27" w:rsidP="00427F27">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Diagnostiquer un système d’élevage c’est rechercher les caractéristiques propres dudit système, ses atouts, les contraintes et les limites auxquels il fait face.</w:t>
      </w:r>
    </w:p>
    <w:p w:rsidR="00427F27" w:rsidRPr="004D506B" w:rsidRDefault="00427F27" w:rsidP="00427F27">
      <w:pPr>
        <w:spacing w:before="240" w:after="240" w:line="240" w:lineRule="auto"/>
        <w:rPr>
          <w:rFonts w:ascii="Times New Roman" w:eastAsia="Times New Roman" w:hAnsi="Times New Roman"/>
          <w:b/>
          <w:bCs/>
          <w:sz w:val="24"/>
          <w:szCs w:val="24"/>
          <w:lang w:eastAsia="fr-FR"/>
        </w:rPr>
      </w:pPr>
      <w:bookmarkStart w:id="3" w:name="_Toc220378926"/>
      <w:r w:rsidRPr="004D506B">
        <w:rPr>
          <w:rFonts w:ascii="Times New Roman" w:eastAsia="Times New Roman" w:hAnsi="Times New Roman"/>
          <w:b/>
          <w:bCs/>
          <w:sz w:val="24"/>
          <w:szCs w:val="24"/>
          <w:lang w:eastAsia="fr-FR"/>
        </w:rPr>
        <w:t xml:space="preserve">Table </w:t>
      </w:r>
      <w:r w:rsidRPr="004D506B">
        <w:rPr>
          <w:rFonts w:ascii="Times New Roman" w:eastAsia="Times New Roman" w:hAnsi="Times New Roman"/>
          <w:b/>
          <w:bCs/>
          <w:sz w:val="24"/>
          <w:szCs w:val="24"/>
          <w:lang w:eastAsia="fr-FR"/>
        </w:rPr>
        <w:fldChar w:fldCharType="begin"/>
      </w:r>
      <w:r w:rsidRPr="004D506B">
        <w:rPr>
          <w:rFonts w:ascii="Times New Roman" w:eastAsia="Times New Roman" w:hAnsi="Times New Roman"/>
          <w:b/>
          <w:bCs/>
          <w:sz w:val="24"/>
          <w:szCs w:val="24"/>
          <w:lang w:eastAsia="fr-FR"/>
        </w:rPr>
        <w:instrText xml:space="preserve"> SEQ Table \* ARABIC </w:instrText>
      </w:r>
      <w:r w:rsidRPr="004D506B">
        <w:rPr>
          <w:rFonts w:ascii="Times New Roman" w:eastAsia="Times New Roman" w:hAnsi="Times New Roman"/>
          <w:b/>
          <w:bCs/>
          <w:sz w:val="24"/>
          <w:szCs w:val="24"/>
          <w:lang w:eastAsia="fr-FR"/>
        </w:rPr>
        <w:fldChar w:fldCharType="separate"/>
      </w:r>
      <w:r w:rsidRPr="004D506B">
        <w:rPr>
          <w:rFonts w:ascii="Times New Roman" w:eastAsia="Times New Roman" w:hAnsi="Times New Roman"/>
          <w:b/>
          <w:bCs/>
          <w:noProof/>
          <w:sz w:val="24"/>
          <w:szCs w:val="24"/>
          <w:lang w:eastAsia="fr-FR"/>
        </w:rPr>
        <w:t>35</w:t>
      </w:r>
      <w:r w:rsidRPr="004D506B">
        <w:rPr>
          <w:rFonts w:ascii="Times New Roman" w:eastAsia="Times New Roman" w:hAnsi="Times New Roman"/>
          <w:b/>
          <w:bCs/>
          <w:sz w:val="24"/>
          <w:szCs w:val="24"/>
          <w:lang w:eastAsia="fr-FR"/>
        </w:rPr>
        <w:fldChar w:fldCharType="end"/>
      </w:r>
      <w:r w:rsidRPr="004D506B">
        <w:rPr>
          <w:rFonts w:ascii="Times New Roman" w:eastAsia="Times New Roman" w:hAnsi="Times New Roman"/>
          <w:b/>
          <w:bCs/>
          <w:sz w:val="24"/>
          <w:szCs w:val="24"/>
          <w:lang w:eastAsia="fr-FR"/>
        </w:rPr>
        <w:t> : Principales composantes et caractéristiques d’un système d’élevage.</w:t>
      </w:r>
      <w:bookmarkEnd w:id="3"/>
    </w:p>
    <w:tbl>
      <w:tblPr>
        <w:tblW w:w="0" w:type="auto"/>
        <w:tblBorders>
          <w:top w:val="single" w:sz="12" w:space="0" w:color="000000"/>
          <w:bottom w:val="single" w:sz="12" w:space="0" w:color="000000"/>
          <w:insideH w:val="single" w:sz="6" w:space="0" w:color="000000"/>
        </w:tblBorders>
        <w:tblLook w:val="04A0" w:firstRow="1" w:lastRow="0" w:firstColumn="1" w:lastColumn="0" w:noHBand="0" w:noVBand="1"/>
      </w:tblPr>
      <w:tblGrid>
        <w:gridCol w:w="2230"/>
        <w:gridCol w:w="2284"/>
        <w:gridCol w:w="2300"/>
        <w:gridCol w:w="2258"/>
      </w:tblGrid>
      <w:tr w:rsidR="00427F27" w:rsidRPr="004D506B" w:rsidTr="009869F7">
        <w:tc>
          <w:tcPr>
            <w:tcW w:w="2392" w:type="dxa"/>
            <w:tcBorders>
              <w:bottom w:val="single" w:sz="12" w:space="0" w:color="000000"/>
            </w:tcBorders>
            <w:shd w:val="clear" w:color="auto" w:fill="auto"/>
          </w:tcPr>
          <w:p w:rsidR="00427F27" w:rsidRPr="004D506B" w:rsidRDefault="00427F27" w:rsidP="009869F7">
            <w:pPr>
              <w:spacing w:after="0" w:line="240" w:lineRule="auto"/>
              <w:rPr>
                <w:rFonts w:ascii="Times New Roman" w:eastAsia="Times New Roman" w:hAnsi="Times New Roman"/>
                <w:b/>
                <w:bCs/>
                <w:color w:val="000000"/>
                <w:sz w:val="20"/>
                <w:szCs w:val="20"/>
                <w:lang w:eastAsia="fr-FR"/>
              </w:rPr>
            </w:pPr>
            <w:r w:rsidRPr="004D506B">
              <w:rPr>
                <w:rFonts w:ascii="Times New Roman" w:eastAsia="Times New Roman" w:hAnsi="Times New Roman"/>
                <w:b/>
                <w:bCs/>
                <w:color w:val="000000"/>
                <w:sz w:val="20"/>
                <w:szCs w:val="20"/>
                <w:lang w:eastAsia="fr-FR"/>
              </w:rPr>
              <w:t>Pôles</w:t>
            </w:r>
          </w:p>
        </w:tc>
        <w:tc>
          <w:tcPr>
            <w:tcW w:w="2392" w:type="dxa"/>
            <w:tcBorders>
              <w:bottom w:val="single" w:sz="12" w:space="0" w:color="000000"/>
            </w:tcBorders>
            <w:shd w:val="clear" w:color="auto" w:fill="auto"/>
          </w:tcPr>
          <w:p w:rsidR="00427F27" w:rsidRPr="004D506B" w:rsidRDefault="00427F27" w:rsidP="009869F7">
            <w:pPr>
              <w:spacing w:after="0" w:line="240" w:lineRule="auto"/>
              <w:rPr>
                <w:rFonts w:ascii="Times New Roman" w:eastAsia="Times New Roman" w:hAnsi="Times New Roman"/>
                <w:b/>
                <w:bCs/>
                <w:color w:val="000000"/>
                <w:sz w:val="20"/>
                <w:szCs w:val="20"/>
                <w:lang w:eastAsia="fr-FR"/>
              </w:rPr>
            </w:pPr>
            <w:r w:rsidRPr="004D506B">
              <w:rPr>
                <w:rFonts w:ascii="Times New Roman" w:eastAsia="Times New Roman" w:hAnsi="Times New Roman"/>
                <w:b/>
                <w:bCs/>
                <w:color w:val="000000"/>
                <w:sz w:val="20"/>
                <w:szCs w:val="20"/>
                <w:lang w:eastAsia="fr-FR"/>
              </w:rPr>
              <w:t>Composantes</w:t>
            </w:r>
          </w:p>
        </w:tc>
        <w:tc>
          <w:tcPr>
            <w:tcW w:w="2393" w:type="dxa"/>
            <w:tcBorders>
              <w:bottom w:val="single" w:sz="12" w:space="0" w:color="000000"/>
            </w:tcBorders>
            <w:shd w:val="clear" w:color="auto" w:fill="auto"/>
          </w:tcPr>
          <w:p w:rsidR="00427F27" w:rsidRPr="004D506B" w:rsidRDefault="00427F27" w:rsidP="009869F7">
            <w:pPr>
              <w:spacing w:after="0" w:line="240" w:lineRule="auto"/>
              <w:rPr>
                <w:rFonts w:ascii="Times New Roman" w:eastAsia="Times New Roman" w:hAnsi="Times New Roman"/>
                <w:b/>
                <w:bCs/>
                <w:color w:val="000000"/>
                <w:sz w:val="20"/>
                <w:szCs w:val="20"/>
                <w:lang w:eastAsia="fr-FR"/>
              </w:rPr>
            </w:pPr>
            <w:r w:rsidRPr="004D506B">
              <w:rPr>
                <w:rFonts w:ascii="Times New Roman" w:eastAsia="Times New Roman" w:hAnsi="Times New Roman"/>
                <w:b/>
                <w:bCs/>
                <w:color w:val="000000"/>
                <w:sz w:val="20"/>
                <w:szCs w:val="20"/>
                <w:lang w:eastAsia="fr-FR"/>
              </w:rPr>
              <w:t>Caractéristiques à étudier</w:t>
            </w:r>
          </w:p>
        </w:tc>
        <w:tc>
          <w:tcPr>
            <w:tcW w:w="2393" w:type="dxa"/>
            <w:tcBorders>
              <w:bottom w:val="single" w:sz="12" w:space="0" w:color="000000"/>
            </w:tcBorders>
            <w:shd w:val="clear" w:color="auto" w:fill="auto"/>
          </w:tcPr>
          <w:p w:rsidR="00427F27" w:rsidRPr="004D506B" w:rsidRDefault="00427F27" w:rsidP="009869F7">
            <w:pPr>
              <w:spacing w:after="0" w:line="240" w:lineRule="auto"/>
              <w:rPr>
                <w:rFonts w:ascii="Times New Roman" w:eastAsia="Times New Roman" w:hAnsi="Times New Roman"/>
                <w:b/>
                <w:bCs/>
                <w:color w:val="000000"/>
                <w:sz w:val="20"/>
                <w:szCs w:val="20"/>
                <w:lang w:eastAsia="fr-FR"/>
              </w:rPr>
            </w:pPr>
            <w:r w:rsidRPr="004D506B">
              <w:rPr>
                <w:rFonts w:ascii="Times New Roman" w:eastAsia="Times New Roman" w:hAnsi="Times New Roman"/>
                <w:b/>
                <w:bCs/>
                <w:color w:val="000000"/>
                <w:sz w:val="20"/>
                <w:szCs w:val="20"/>
                <w:lang w:eastAsia="fr-FR"/>
              </w:rPr>
              <w:t>Produits de l’analyste</w:t>
            </w:r>
          </w:p>
        </w:tc>
      </w:tr>
      <w:tr w:rsidR="00427F27" w:rsidRPr="004D506B" w:rsidTr="009869F7">
        <w:tc>
          <w:tcPr>
            <w:tcW w:w="2392"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Territoire et ressources</w:t>
            </w:r>
          </w:p>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(Systèmes de cultures)</w:t>
            </w: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Structure</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Unités de ressources fourragères</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Carte</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Répartition – surfaces</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Production primaire</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roofErr w:type="spellStart"/>
            <w:r w:rsidRPr="004D506B">
              <w:rPr>
                <w:rFonts w:ascii="Times New Roman" w:eastAsia="Times New Roman" w:hAnsi="Times New Roman"/>
                <w:sz w:val="20"/>
                <w:szCs w:val="20"/>
                <w:lang w:eastAsia="fr-FR"/>
              </w:rPr>
              <w:t>Phytomasse</w:t>
            </w:r>
            <w:proofErr w:type="spellEnd"/>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Composition chimique</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Valeur alimentaire</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Utilisation par l’animal</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Accessibilité</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Charge</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Appétibilité</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Carte d’utilisation</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roofErr w:type="spellStart"/>
            <w:r w:rsidRPr="004D506B">
              <w:rPr>
                <w:rFonts w:ascii="Times New Roman" w:eastAsia="Times New Roman" w:hAnsi="Times New Roman"/>
                <w:sz w:val="20"/>
                <w:szCs w:val="20"/>
                <w:lang w:eastAsia="fr-FR"/>
              </w:rPr>
              <w:t>Ingestibilité</w:t>
            </w:r>
            <w:proofErr w:type="spellEnd"/>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Evolution dans le temps</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 xml:space="preserve">Variations </w:t>
            </w:r>
            <w:proofErr w:type="spellStart"/>
            <w:r w:rsidRPr="004D506B">
              <w:rPr>
                <w:rFonts w:ascii="Times New Roman" w:eastAsia="Times New Roman" w:hAnsi="Times New Roman"/>
                <w:sz w:val="20"/>
                <w:szCs w:val="20"/>
                <w:lang w:eastAsia="fr-FR"/>
              </w:rPr>
              <w:t>saisonières</w:t>
            </w:r>
            <w:proofErr w:type="spellEnd"/>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Suivi des pâturages</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Variations inter annuelles</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Reproduction de l’éco système</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val="restart"/>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r w:rsidRPr="004D506B">
              <w:rPr>
                <w:rFonts w:ascii="Times New Roman" w:eastAsia="Times New Roman" w:hAnsi="Times New Roman"/>
                <w:b/>
                <w:i/>
                <w:sz w:val="20"/>
                <w:szCs w:val="20"/>
                <w:lang w:eastAsia="fr-FR"/>
              </w:rPr>
              <w:t>Interface</w:t>
            </w:r>
          </w:p>
        </w:tc>
        <w:tc>
          <w:tcPr>
            <w:tcW w:w="4785" w:type="dxa"/>
            <w:gridSpan w:val="2"/>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r w:rsidRPr="004D506B">
              <w:rPr>
                <w:rFonts w:ascii="Times New Roman" w:eastAsia="Times New Roman" w:hAnsi="Times New Roman"/>
                <w:b/>
                <w:i/>
                <w:sz w:val="20"/>
                <w:szCs w:val="20"/>
                <w:lang w:eastAsia="fr-FR"/>
              </w:rPr>
              <w:t>Comportement alimentaire et spatial</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r w:rsidRPr="004D506B">
              <w:rPr>
                <w:rFonts w:ascii="Times New Roman" w:eastAsia="Times New Roman" w:hAnsi="Times New Roman"/>
                <w:b/>
                <w:i/>
                <w:sz w:val="20"/>
                <w:szCs w:val="20"/>
                <w:lang w:eastAsia="fr-FR"/>
              </w:rPr>
              <w:t>Bilan fourrager</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p>
        </w:tc>
        <w:tc>
          <w:tcPr>
            <w:tcW w:w="4785" w:type="dxa"/>
            <w:gridSpan w:val="2"/>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r w:rsidRPr="004D506B">
              <w:rPr>
                <w:rFonts w:ascii="Times New Roman" w:eastAsia="Times New Roman" w:hAnsi="Times New Roman"/>
                <w:b/>
                <w:i/>
                <w:sz w:val="20"/>
                <w:szCs w:val="20"/>
                <w:lang w:eastAsia="fr-FR"/>
              </w:rPr>
              <w:t>Bilans : matière organique ; fertilité (liaison avec le système de cultures)</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r w:rsidRPr="004D506B">
              <w:rPr>
                <w:rFonts w:ascii="Times New Roman" w:eastAsia="Times New Roman" w:hAnsi="Times New Roman"/>
                <w:b/>
                <w:i/>
                <w:sz w:val="20"/>
                <w:szCs w:val="20"/>
                <w:lang w:eastAsia="fr-FR"/>
              </w:rPr>
              <w:t>Typologie des surfaces (modes d’utilisation)</w:t>
            </w:r>
          </w:p>
        </w:tc>
      </w:tr>
      <w:tr w:rsidR="00427F27" w:rsidRPr="004D506B" w:rsidTr="009869F7">
        <w:tc>
          <w:tcPr>
            <w:tcW w:w="2392"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Troupeau</w:t>
            </w:r>
          </w:p>
        </w:tc>
        <w:tc>
          <w:tcPr>
            <w:tcW w:w="2392"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Etat</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Espèces, race, type génétique</w:t>
            </w:r>
          </w:p>
        </w:tc>
        <w:tc>
          <w:tcPr>
            <w:tcW w:w="2393"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Pyramide des âges</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Effectif</w:t>
            </w:r>
          </w:p>
        </w:tc>
        <w:tc>
          <w:tcPr>
            <w:tcW w:w="2393"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Composition, structure</w:t>
            </w:r>
          </w:p>
        </w:tc>
        <w:tc>
          <w:tcPr>
            <w:tcW w:w="2393"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Caractéristiques dynamiques</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Reproduction (fertilité, fécondité, …)</w:t>
            </w:r>
          </w:p>
        </w:tc>
        <w:tc>
          <w:tcPr>
            <w:tcW w:w="2393"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Productivité numérique</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Mortalité</w:t>
            </w:r>
          </w:p>
        </w:tc>
        <w:tc>
          <w:tcPr>
            <w:tcW w:w="2393"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Exploitation et croît</w:t>
            </w:r>
          </w:p>
        </w:tc>
        <w:tc>
          <w:tcPr>
            <w:tcW w:w="2393"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Animal (état individuel)</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Etat sanitaire</w:t>
            </w:r>
          </w:p>
        </w:tc>
        <w:tc>
          <w:tcPr>
            <w:tcW w:w="2393"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Critères de sélection</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Stade physiologique</w:t>
            </w:r>
          </w:p>
        </w:tc>
        <w:tc>
          <w:tcPr>
            <w:tcW w:w="2393"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Etat de développement</w:t>
            </w:r>
          </w:p>
        </w:tc>
        <w:tc>
          <w:tcPr>
            <w:tcW w:w="2393"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Performances individuelles</w:t>
            </w:r>
          </w:p>
        </w:tc>
        <w:tc>
          <w:tcPr>
            <w:tcW w:w="2393"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Conduite</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Du troupeau</w:t>
            </w:r>
          </w:p>
        </w:tc>
        <w:tc>
          <w:tcPr>
            <w:tcW w:w="2393"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Calendrier</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De l’alimentation</w:t>
            </w:r>
          </w:p>
        </w:tc>
        <w:tc>
          <w:tcPr>
            <w:tcW w:w="2393"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De la reproduction</w:t>
            </w:r>
          </w:p>
        </w:tc>
        <w:tc>
          <w:tcPr>
            <w:tcW w:w="2393"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Production</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Viande, lait, laine</w:t>
            </w:r>
          </w:p>
        </w:tc>
        <w:tc>
          <w:tcPr>
            <w:tcW w:w="2393"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Produits animaux</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Fumier, travail, transport</w:t>
            </w:r>
          </w:p>
        </w:tc>
        <w:tc>
          <w:tcPr>
            <w:tcW w:w="2393"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r w:rsidRPr="004D506B">
              <w:rPr>
                <w:rFonts w:ascii="Times New Roman" w:eastAsia="Times New Roman" w:hAnsi="Times New Roman"/>
                <w:b/>
                <w:i/>
                <w:sz w:val="20"/>
                <w:szCs w:val="20"/>
                <w:lang w:eastAsia="fr-FR"/>
              </w:rPr>
              <w:t>Interface</w:t>
            </w:r>
          </w:p>
        </w:tc>
        <w:tc>
          <w:tcPr>
            <w:tcW w:w="4785" w:type="dxa"/>
            <w:gridSpan w:val="2"/>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r w:rsidRPr="004D506B">
              <w:rPr>
                <w:rFonts w:ascii="Times New Roman" w:eastAsia="Times New Roman" w:hAnsi="Times New Roman"/>
                <w:b/>
                <w:i/>
                <w:sz w:val="20"/>
                <w:szCs w:val="20"/>
                <w:lang w:eastAsia="fr-FR"/>
              </w:rPr>
              <w:t>Pratiques- soins, conduite, savoir-faire rôle du cheptel (économique, culturel, religieux) modes de valorisation</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r w:rsidRPr="004D506B">
              <w:rPr>
                <w:rFonts w:ascii="Times New Roman" w:eastAsia="Times New Roman" w:hAnsi="Times New Roman"/>
                <w:b/>
                <w:i/>
                <w:sz w:val="20"/>
                <w:szCs w:val="20"/>
                <w:lang w:eastAsia="fr-FR"/>
              </w:rPr>
              <w:t>Diversité des produits</w:t>
            </w:r>
          </w:p>
        </w:tc>
      </w:tr>
      <w:tr w:rsidR="00427F27" w:rsidRPr="004D506B" w:rsidTr="009869F7">
        <w:tc>
          <w:tcPr>
            <w:tcW w:w="2392" w:type="dxa"/>
            <w:vMerge w:val="restart"/>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L’éleveur</w:t>
            </w: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Ethnie, famille (histoire, projets)</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Logique socio-économique</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4785" w:type="dxa"/>
            <w:gridSpan w:val="2"/>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Organisation de l’élevage différents agents, fonctions, centres de décision, organisation du travail ; famille, autres</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Organisation sociale</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Besoins, revenus, autres activités</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Budgets</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Relations avec la communauté rurale</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Organisation globale</w:t>
            </w: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2"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r w:rsidRPr="004D506B">
              <w:rPr>
                <w:rFonts w:ascii="Times New Roman" w:eastAsia="Times New Roman" w:hAnsi="Times New Roman"/>
                <w:sz w:val="20"/>
                <w:szCs w:val="20"/>
                <w:lang w:eastAsia="fr-FR"/>
              </w:rPr>
              <w:t>Services de l’élevage et autres intervenants</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sz w:val="20"/>
                <w:szCs w:val="20"/>
                <w:lang w:eastAsia="fr-FR"/>
              </w:rPr>
            </w:pPr>
          </w:p>
        </w:tc>
      </w:tr>
      <w:tr w:rsidR="00427F27" w:rsidRPr="004D506B" w:rsidTr="009869F7">
        <w:tc>
          <w:tcPr>
            <w:tcW w:w="2392" w:type="dxa"/>
            <w:vMerge w:val="restart"/>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r w:rsidRPr="004D506B">
              <w:rPr>
                <w:rFonts w:ascii="Times New Roman" w:eastAsia="Times New Roman" w:hAnsi="Times New Roman"/>
                <w:b/>
                <w:i/>
                <w:sz w:val="20"/>
                <w:szCs w:val="20"/>
                <w:lang w:eastAsia="fr-FR"/>
              </w:rPr>
              <w:t>Interface</w:t>
            </w:r>
          </w:p>
        </w:tc>
        <w:tc>
          <w:tcPr>
            <w:tcW w:w="4785" w:type="dxa"/>
            <w:gridSpan w:val="2"/>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r w:rsidRPr="004D506B">
              <w:rPr>
                <w:rFonts w:ascii="Times New Roman" w:eastAsia="Times New Roman" w:hAnsi="Times New Roman"/>
                <w:b/>
                <w:i/>
                <w:sz w:val="20"/>
                <w:szCs w:val="20"/>
                <w:lang w:eastAsia="fr-FR"/>
              </w:rPr>
              <w:t>Organisation foncière, gestion de l’espace et des pâturages</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p>
        </w:tc>
      </w:tr>
      <w:tr w:rsidR="00427F27" w:rsidRPr="004D506B" w:rsidTr="009869F7">
        <w:tc>
          <w:tcPr>
            <w:tcW w:w="2392" w:type="dxa"/>
            <w:vMerge/>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p>
        </w:tc>
        <w:tc>
          <w:tcPr>
            <w:tcW w:w="4785" w:type="dxa"/>
            <w:gridSpan w:val="2"/>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r w:rsidRPr="004D506B">
              <w:rPr>
                <w:rFonts w:ascii="Times New Roman" w:eastAsia="Times New Roman" w:hAnsi="Times New Roman"/>
                <w:b/>
                <w:i/>
                <w:sz w:val="20"/>
                <w:szCs w:val="20"/>
                <w:lang w:eastAsia="fr-FR"/>
              </w:rPr>
              <w:t>Stratégie : transhumance, fumure</w:t>
            </w:r>
          </w:p>
        </w:tc>
        <w:tc>
          <w:tcPr>
            <w:tcW w:w="2393" w:type="dxa"/>
            <w:shd w:val="clear" w:color="auto" w:fill="auto"/>
          </w:tcPr>
          <w:p w:rsidR="00427F27" w:rsidRPr="004D506B" w:rsidRDefault="00427F27" w:rsidP="009869F7">
            <w:pPr>
              <w:spacing w:after="0" w:line="240" w:lineRule="auto"/>
              <w:rPr>
                <w:rFonts w:ascii="Times New Roman" w:eastAsia="Times New Roman" w:hAnsi="Times New Roman"/>
                <w:b/>
                <w:i/>
                <w:sz w:val="20"/>
                <w:szCs w:val="20"/>
                <w:lang w:eastAsia="fr-FR"/>
              </w:rPr>
            </w:pPr>
          </w:p>
        </w:tc>
      </w:tr>
    </w:tbl>
    <w:p w:rsidR="00427F27" w:rsidRPr="004D506B" w:rsidRDefault="00427F27" w:rsidP="00427F27">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Une intervention appropriée et pertinente dans un système d’élevage devrait être précédée d’un diagnostic complet sur les ressources disponibles (territoire et espace, troupeau et éleveur).</w:t>
      </w:r>
    </w:p>
    <w:p w:rsidR="00427F27" w:rsidRPr="004D506B" w:rsidRDefault="00427F27" w:rsidP="00427F27">
      <w:pPr>
        <w:keepNext/>
        <w:numPr>
          <w:ilvl w:val="1"/>
          <w:numId w:val="0"/>
        </w:numPr>
        <w:spacing w:before="240" w:after="240" w:line="240" w:lineRule="auto"/>
        <w:ind w:left="720" w:hanging="720"/>
        <w:outlineLvl w:val="1"/>
        <w:rPr>
          <w:rFonts w:ascii="Times New Roman" w:eastAsia="Times New Roman" w:hAnsi="Times New Roman"/>
          <w:b/>
          <w:bCs/>
          <w:iCs/>
          <w:sz w:val="32"/>
          <w:szCs w:val="28"/>
          <w:lang w:eastAsia="fr-FR"/>
        </w:rPr>
      </w:pPr>
      <w:bookmarkStart w:id="4" w:name="_Toc220380042"/>
      <w:r w:rsidRPr="004D506B">
        <w:rPr>
          <w:rFonts w:ascii="Times New Roman" w:eastAsia="Times New Roman" w:hAnsi="Times New Roman"/>
          <w:b/>
          <w:bCs/>
          <w:iCs/>
          <w:sz w:val="32"/>
          <w:szCs w:val="28"/>
          <w:lang w:eastAsia="fr-FR"/>
        </w:rPr>
        <w:t>L’amélioration de la gestion des élevages</w:t>
      </w:r>
      <w:bookmarkEnd w:id="4"/>
    </w:p>
    <w:p w:rsidR="00427F27" w:rsidRPr="004D506B" w:rsidRDefault="00427F27" w:rsidP="00427F27">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L’amélioration de la gestion des troupeaux obéit en général à trois axes majeurs : l’alimentation, la santé et les races.</w:t>
      </w:r>
    </w:p>
    <w:p w:rsidR="00427F27" w:rsidRPr="004D506B" w:rsidRDefault="00427F27" w:rsidP="00427F27">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5" w:name="_Toc220380043"/>
      <w:r w:rsidRPr="004D506B">
        <w:rPr>
          <w:rFonts w:ascii="Times New Roman" w:eastAsia="Times New Roman" w:hAnsi="Times New Roman"/>
          <w:bCs/>
          <w:sz w:val="28"/>
          <w:szCs w:val="28"/>
          <w:lang w:eastAsia="fr-FR"/>
        </w:rPr>
        <w:t>L’alimentation</w:t>
      </w:r>
      <w:bookmarkEnd w:id="5"/>
    </w:p>
    <w:p w:rsidR="00427F27" w:rsidRPr="004D506B" w:rsidRDefault="00427F27" w:rsidP="00427F27">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Le respect des besoins énergétiques, azotés, minéraux et vitaminiques des animaux, permet d’obtenir des performances optimales. Ces besoins correspondent aux dépenses physiologiques indispensables pour l’entretien et les productions (croissance, engraissement, lait, travail). C’est au travers de l’alimentation que se réalise premièrement l’intégration entre agriculture et élevage.</w:t>
      </w:r>
    </w:p>
    <w:p w:rsidR="00427F27" w:rsidRPr="004D506B" w:rsidRDefault="00427F27" w:rsidP="00427F27">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6" w:name="_Toc220380044"/>
      <w:r w:rsidRPr="004D506B">
        <w:rPr>
          <w:rFonts w:ascii="Times New Roman" w:eastAsia="Times New Roman" w:hAnsi="Times New Roman"/>
          <w:bCs/>
          <w:sz w:val="28"/>
          <w:szCs w:val="28"/>
          <w:lang w:eastAsia="fr-FR"/>
        </w:rPr>
        <w:t>La santé</w:t>
      </w:r>
      <w:bookmarkEnd w:id="6"/>
    </w:p>
    <w:p w:rsidR="00427F27" w:rsidRPr="004D506B" w:rsidRDefault="00427F27" w:rsidP="00427F27">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Un animal doit être en bonne santé pour extérioriser ses performances. Toute maladie atteint l’intégrité de l’organisme et perturbe plus ou moins les capacités de production. L’éleveur devra par conséquent établir et applique un programme de prophylaxie adéquat et pouvoir intervenir de manière opportune </w:t>
      </w:r>
      <w:proofErr w:type="spellStart"/>
      <w:r w:rsidRPr="004D506B">
        <w:rPr>
          <w:rFonts w:ascii="Times New Roman" w:eastAsia="Times New Roman" w:hAnsi="Times New Roman"/>
          <w:sz w:val="24"/>
          <w:szCs w:val="24"/>
          <w:lang w:eastAsia="fr-FR"/>
        </w:rPr>
        <w:t>quant</w:t>
      </w:r>
      <w:proofErr w:type="spellEnd"/>
      <w:r w:rsidRPr="004D506B">
        <w:rPr>
          <w:rFonts w:ascii="Times New Roman" w:eastAsia="Times New Roman" w:hAnsi="Times New Roman"/>
          <w:sz w:val="24"/>
          <w:szCs w:val="24"/>
          <w:lang w:eastAsia="fr-FR"/>
        </w:rPr>
        <w:t xml:space="preserve"> le troupeau est attaqué.</w:t>
      </w:r>
    </w:p>
    <w:p w:rsidR="00427F27" w:rsidRPr="004D506B" w:rsidRDefault="00427F27" w:rsidP="00427F27">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7" w:name="_Toc220380045"/>
      <w:r w:rsidRPr="004D506B">
        <w:rPr>
          <w:rFonts w:ascii="Times New Roman" w:eastAsia="Times New Roman" w:hAnsi="Times New Roman"/>
          <w:bCs/>
          <w:sz w:val="28"/>
          <w:szCs w:val="28"/>
          <w:lang w:eastAsia="fr-FR"/>
        </w:rPr>
        <w:t>Les races</w:t>
      </w:r>
      <w:bookmarkEnd w:id="7"/>
    </w:p>
    <w:p w:rsidR="00427F27" w:rsidRPr="004D506B" w:rsidRDefault="00427F27" w:rsidP="00427F27">
      <w:pPr>
        <w:spacing w:before="240" w:after="240" w:line="240" w:lineRule="auto"/>
        <w:ind w:right="-115"/>
        <w:jc w:val="both"/>
        <w:rPr>
          <w:rFonts w:ascii="Times New Roman" w:eastAsia="Times New Roman" w:hAnsi="Times New Roman"/>
          <w:sz w:val="24"/>
          <w:szCs w:val="24"/>
          <w:lang w:eastAsia="fr-FR"/>
        </w:rPr>
      </w:pPr>
      <w:r w:rsidRPr="004D506B">
        <w:rPr>
          <w:rFonts w:ascii="Times New Roman" w:eastAsia="Times New Roman" w:hAnsi="Times New Roman"/>
          <w:sz w:val="24"/>
          <w:szCs w:val="24"/>
          <w:lang w:eastAsia="fr-FR"/>
        </w:rPr>
        <w:t xml:space="preserve">L’amélioration de l’élevage par l’introduction de nouvelles races ou de caractères génétiques est une opération relativement complexe et difficile à réaliser au niveau de l’exploitation agricole. Elle permet de disposer d’animaux de performances meilleures mais en même temps </w:t>
      </w:r>
      <w:proofErr w:type="spellStart"/>
      <w:r w:rsidRPr="004D506B">
        <w:rPr>
          <w:rFonts w:ascii="Times New Roman" w:eastAsia="Times New Roman" w:hAnsi="Times New Roman"/>
          <w:sz w:val="24"/>
          <w:szCs w:val="24"/>
          <w:lang w:eastAsia="fr-FR"/>
        </w:rPr>
        <w:t>requièrt</w:t>
      </w:r>
      <w:proofErr w:type="spellEnd"/>
      <w:r w:rsidRPr="004D506B">
        <w:rPr>
          <w:rFonts w:ascii="Times New Roman" w:eastAsia="Times New Roman" w:hAnsi="Times New Roman"/>
          <w:sz w:val="24"/>
          <w:szCs w:val="24"/>
          <w:lang w:eastAsia="fr-FR"/>
        </w:rPr>
        <w:t xml:space="preserve"> un niveau d’intensification plus accru et exigeant.</w:t>
      </w:r>
    </w:p>
    <w:p w:rsidR="00FB42D1" w:rsidRDefault="00FB42D1"/>
    <w:sectPr w:rsidR="00FB4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E7425"/>
    <w:multiLevelType w:val="hybridMultilevel"/>
    <w:tmpl w:val="9550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27"/>
    <w:rsid w:val="000F5007"/>
    <w:rsid w:val="00427F27"/>
    <w:rsid w:val="00E323F0"/>
    <w:rsid w:val="00FB4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9EBB6-0C8D-44FA-9C07-5A5CE54D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F27"/>
    <w:rPr>
      <w:rFonts w:ascii="Calibri" w:eastAsia="Calibri" w:hAnsi="Calibri" w:cs="Times New Roman"/>
    </w:rPr>
  </w:style>
  <w:style w:type="paragraph" w:styleId="Titre1">
    <w:name w:val="heading 1"/>
    <w:basedOn w:val="Normal"/>
    <w:next w:val="Normal"/>
    <w:link w:val="Titre1Car"/>
    <w:uiPriority w:val="9"/>
    <w:qFormat/>
    <w:rsid w:val="00427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Titre1VerdanaBasSimpleAutomatique05ptpaisse">
    <w:name w:val="Style Titre 1 + Verdana Bas: (Simple Automatique  05 pt Épaisse..."/>
    <w:basedOn w:val="Titre1"/>
    <w:autoRedefine/>
    <w:rsid w:val="000F5007"/>
    <w:pPr>
      <w:keepLines w:val="0"/>
      <w:pBdr>
        <w:bottom w:val="single" w:sz="4" w:space="1" w:color="auto"/>
      </w:pBdr>
      <w:spacing w:after="60" w:line="240" w:lineRule="auto"/>
      <w:ind w:left="360"/>
    </w:pPr>
    <w:rPr>
      <w:rFonts w:ascii="Times New Roman" w:eastAsia="Times New Roman" w:hAnsi="Times New Roman" w:cs="Times New Roman"/>
      <w:b/>
      <w:bCs/>
      <w:color w:val="auto"/>
      <w:kern w:val="32"/>
      <w:sz w:val="28"/>
      <w:szCs w:val="28"/>
      <w:lang w:eastAsia="fr-FR"/>
    </w:rPr>
  </w:style>
  <w:style w:type="character" w:customStyle="1" w:styleId="Titre1Car">
    <w:name w:val="Titre 1 Car"/>
    <w:basedOn w:val="Policepardfaut"/>
    <w:link w:val="Titre1"/>
    <w:uiPriority w:val="9"/>
    <w:rsid w:val="00427F27"/>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semiHidden/>
    <w:unhideWhenUsed/>
    <w:rsid w:val="00E32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3781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2018-11-28T17:58:00Z</dcterms:created>
  <dcterms:modified xsi:type="dcterms:W3CDTF">2018-12-06T17:12:00Z</dcterms:modified>
</cp:coreProperties>
</file>