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20380040"/>
    <w:p w:rsidR="00E323F0" w:rsidRPr="00E323F0" w:rsidRDefault="00E323F0" w:rsidP="00E323F0">
      <w:pPr>
        <w:tabs>
          <w:tab w:val="left" w:pos="5610"/>
        </w:tabs>
        <w:spacing w:after="0"/>
        <w:jc w:val="center"/>
        <w:rPr>
          <w:rFonts w:asciiTheme="minorHAnsi" w:eastAsiaTheme="minorHAnsi" w:hAnsiTheme="minorHAnsi" w:cstheme="minorBidi"/>
          <w:b/>
          <w:sz w:val="40"/>
          <w:szCs w:val="40"/>
        </w:rPr>
      </w:pPr>
      <w:r>
        <w:rPr>
          <w:b/>
        </w:rPr>
        <w:fldChar w:fldCharType="begin"/>
      </w:r>
      <w:r>
        <w:rPr>
          <w:b/>
        </w:rPr>
        <w:instrText xml:space="preserve"> HYPERLINK "http://www.itimac.org" </w:instrText>
      </w:r>
      <w:r>
        <w:rPr>
          <w:b/>
        </w:rPr>
        <w:fldChar w:fldCharType="separate"/>
      </w:r>
      <w:r>
        <w:rPr>
          <w:rStyle w:val="Lienhypertexte"/>
          <w:rFonts w:asciiTheme="minorHAnsi" w:eastAsiaTheme="minorHAnsi" w:hAnsiTheme="minorHAnsi" w:cstheme="minorBidi"/>
          <w:b/>
          <w:sz w:val="40"/>
          <w:szCs w:val="40"/>
        </w:rPr>
        <w:t>www.itimac.org</w:t>
      </w:r>
      <w:r>
        <w:rPr>
          <w:b/>
        </w:rPr>
        <w:fldChar w:fldCharType="end"/>
      </w:r>
      <w:bookmarkStart w:id="1" w:name="_GoBack"/>
      <w:bookmarkEnd w:id="1"/>
    </w:p>
    <w:p w:rsidR="00427F27" w:rsidRPr="000F5007" w:rsidRDefault="000F5007" w:rsidP="000F5007">
      <w:pPr>
        <w:pStyle w:val="StyleTitre1VerdanaBasSimpleAutomatique05ptpaisse"/>
      </w:pPr>
      <w:r w:rsidRPr="000F5007">
        <w:t>Fiche technique n°01</w:t>
      </w:r>
      <w:r w:rsidR="00427F27" w:rsidRPr="000F5007">
        <w:t xml:space="preserve"> : </w:t>
      </w:r>
      <w:r w:rsidRPr="000F5007">
        <w:t>Généralités sur l</w:t>
      </w:r>
      <w:bookmarkEnd w:id="0"/>
      <w:r w:rsidR="00427F27" w:rsidRPr="000F5007">
        <w:t>es productions animales</w:t>
      </w:r>
    </w:p>
    <w:p w:rsidR="00427F27" w:rsidRPr="002F3184" w:rsidRDefault="00427F27" w:rsidP="00427F27">
      <w:pPr>
        <w:keepNext/>
        <w:numPr>
          <w:ilvl w:val="1"/>
          <w:numId w:val="0"/>
        </w:numPr>
        <w:spacing w:before="240" w:after="240" w:line="240" w:lineRule="auto"/>
        <w:outlineLvl w:val="1"/>
        <w:rPr>
          <w:rFonts w:ascii="Times New Roman" w:eastAsia="Times New Roman" w:hAnsi="Times New Roman"/>
          <w:b/>
          <w:iCs/>
          <w:sz w:val="24"/>
          <w:szCs w:val="24"/>
          <w:lang w:val="en-US" w:eastAsia="fr-FR"/>
        </w:rPr>
      </w:pPr>
      <w:bookmarkStart w:id="2" w:name="_Toc220380041"/>
      <w:r>
        <w:rPr>
          <w:rFonts w:ascii="Times New Roman" w:eastAsia="Times New Roman" w:hAnsi="Times New Roman"/>
          <w:b/>
          <w:bCs/>
          <w:iCs/>
          <w:sz w:val="32"/>
          <w:szCs w:val="28"/>
          <w:lang w:val="en-US" w:eastAsia="fr-FR"/>
        </w:rPr>
        <w:t>DIAGNOSTIC DES SYSTEMES D’ELEVAGE</w:t>
      </w:r>
    </w:p>
    <w:bookmarkEnd w:id="2"/>
    <w:p w:rsidR="00427F27" w:rsidRPr="004D506B" w:rsidRDefault="00427F27" w:rsidP="00427F27">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Avant toute intervention visant l’amélioration d’un système d’élevage, il est indispensable de rechercher les causes de son ancrage tel qu’il est pratiqué par les éleveurs dans l’environnement considéré. Les systèmes d’élevage tels que mis en œuvre, résultent d’interactions environnementales, sociales, économiques, auxquelles se greffe le niveau de technicité des éleveurs. Entreprendre d’améliorer un système reviendra à anticiper sur l’impact de notre action dans le milieu. Il existe des systèmes d’élevage très divers. Pour les différencier, on a recours aux critères suivants :</w:t>
      </w:r>
    </w:p>
    <w:p w:rsidR="00427F27" w:rsidRPr="004D506B" w:rsidRDefault="00427F27" w:rsidP="00427F27">
      <w:pPr>
        <w:numPr>
          <w:ilvl w:val="0"/>
          <w:numId w:val="1"/>
        </w:numPr>
        <w:spacing w:after="0" w:line="240" w:lineRule="auto"/>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La mobilité des animaux dans l’espace ;</w:t>
      </w:r>
    </w:p>
    <w:p w:rsidR="00427F27" w:rsidRPr="004D506B" w:rsidRDefault="00427F27" w:rsidP="00427F27">
      <w:pPr>
        <w:numPr>
          <w:ilvl w:val="0"/>
          <w:numId w:val="1"/>
        </w:numPr>
        <w:spacing w:after="0" w:line="240" w:lineRule="auto"/>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critères techniques ;</w:t>
      </w:r>
    </w:p>
    <w:p w:rsidR="00427F27" w:rsidRPr="004D506B" w:rsidRDefault="00427F27" w:rsidP="00427F27">
      <w:pPr>
        <w:numPr>
          <w:ilvl w:val="0"/>
          <w:numId w:val="1"/>
        </w:numPr>
        <w:spacing w:after="0" w:line="240" w:lineRule="auto"/>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critères d’intensification ;</w:t>
      </w:r>
    </w:p>
    <w:p w:rsidR="00427F27" w:rsidRPr="004D506B" w:rsidRDefault="00427F27" w:rsidP="00427F27">
      <w:pPr>
        <w:numPr>
          <w:ilvl w:val="0"/>
          <w:numId w:val="1"/>
        </w:numPr>
        <w:spacing w:after="0" w:line="240" w:lineRule="auto"/>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critères agro écologiques ;</w:t>
      </w:r>
    </w:p>
    <w:p w:rsidR="00427F27" w:rsidRPr="004D506B" w:rsidRDefault="00427F27" w:rsidP="00427F27">
      <w:pPr>
        <w:numPr>
          <w:ilvl w:val="0"/>
          <w:numId w:val="1"/>
        </w:numPr>
        <w:spacing w:after="0" w:line="240" w:lineRule="auto"/>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critères économiques.</w:t>
      </w:r>
    </w:p>
    <w:p w:rsidR="00427F27" w:rsidRPr="004D506B" w:rsidRDefault="00427F27" w:rsidP="00427F27">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Diagnostiquer un système d’élevage c’est rechercher les caractéristiques propres dudit système, ses atouts, les contraintes et les limites auxquels il fait face.</w:t>
      </w:r>
    </w:p>
    <w:p w:rsidR="00427F27" w:rsidRPr="004D506B" w:rsidRDefault="00427F27" w:rsidP="00427F27">
      <w:pPr>
        <w:spacing w:before="240" w:after="240" w:line="240" w:lineRule="auto"/>
        <w:rPr>
          <w:rFonts w:ascii="Times New Roman" w:eastAsia="Times New Roman" w:hAnsi="Times New Roman"/>
          <w:b/>
          <w:bCs/>
          <w:sz w:val="24"/>
          <w:szCs w:val="24"/>
          <w:lang w:eastAsia="fr-FR"/>
        </w:rPr>
      </w:pPr>
      <w:bookmarkStart w:id="3" w:name="_Toc220378926"/>
      <w:r w:rsidRPr="004D506B">
        <w:rPr>
          <w:rFonts w:ascii="Times New Roman" w:eastAsia="Times New Roman" w:hAnsi="Times New Roman"/>
          <w:b/>
          <w:bCs/>
          <w:sz w:val="24"/>
          <w:szCs w:val="24"/>
          <w:lang w:eastAsia="fr-FR"/>
        </w:rPr>
        <w:t xml:space="preserve">Table </w:t>
      </w:r>
      <w:r w:rsidRPr="004D506B">
        <w:rPr>
          <w:rFonts w:ascii="Times New Roman" w:eastAsia="Times New Roman" w:hAnsi="Times New Roman"/>
          <w:b/>
          <w:bCs/>
          <w:sz w:val="24"/>
          <w:szCs w:val="24"/>
          <w:lang w:eastAsia="fr-FR"/>
        </w:rPr>
        <w:fldChar w:fldCharType="begin"/>
      </w:r>
      <w:r w:rsidRPr="004D506B">
        <w:rPr>
          <w:rFonts w:ascii="Times New Roman" w:eastAsia="Times New Roman" w:hAnsi="Times New Roman"/>
          <w:b/>
          <w:bCs/>
          <w:sz w:val="24"/>
          <w:szCs w:val="24"/>
          <w:lang w:eastAsia="fr-FR"/>
        </w:rPr>
        <w:instrText xml:space="preserve"> SEQ Table \* ARABIC </w:instrText>
      </w:r>
      <w:r w:rsidRPr="004D506B">
        <w:rPr>
          <w:rFonts w:ascii="Times New Roman" w:eastAsia="Times New Roman" w:hAnsi="Times New Roman"/>
          <w:b/>
          <w:bCs/>
          <w:sz w:val="24"/>
          <w:szCs w:val="24"/>
          <w:lang w:eastAsia="fr-FR"/>
        </w:rPr>
        <w:fldChar w:fldCharType="separate"/>
      </w:r>
      <w:r w:rsidRPr="004D506B">
        <w:rPr>
          <w:rFonts w:ascii="Times New Roman" w:eastAsia="Times New Roman" w:hAnsi="Times New Roman"/>
          <w:b/>
          <w:bCs/>
          <w:noProof/>
          <w:sz w:val="24"/>
          <w:szCs w:val="24"/>
          <w:lang w:eastAsia="fr-FR"/>
        </w:rPr>
        <w:t>35</w:t>
      </w:r>
      <w:r w:rsidRPr="004D506B">
        <w:rPr>
          <w:rFonts w:ascii="Times New Roman" w:eastAsia="Times New Roman" w:hAnsi="Times New Roman"/>
          <w:b/>
          <w:bCs/>
          <w:sz w:val="24"/>
          <w:szCs w:val="24"/>
          <w:lang w:eastAsia="fr-FR"/>
        </w:rPr>
        <w:fldChar w:fldCharType="end"/>
      </w:r>
      <w:r w:rsidRPr="004D506B">
        <w:rPr>
          <w:rFonts w:ascii="Times New Roman" w:eastAsia="Times New Roman" w:hAnsi="Times New Roman"/>
          <w:b/>
          <w:bCs/>
          <w:sz w:val="24"/>
          <w:szCs w:val="24"/>
          <w:lang w:eastAsia="fr-FR"/>
        </w:rPr>
        <w:t> : Principales composantes et caractéristiques d’un système d’élevage.</w:t>
      </w:r>
      <w:bookmarkEnd w:id="3"/>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2230"/>
        <w:gridCol w:w="2284"/>
        <w:gridCol w:w="2300"/>
        <w:gridCol w:w="2258"/>
      </w:tblGrid>
      <w:tr w:rsidR="00427F27" w:rsidRPr="004D506B" w:rsidTr="009869F7">
        <w:tc>
          <w:tcPr>
            <w:tcW w:w="2392" w:type="dxa"/>
            <w:tcBorders>
              <w:bottom w:val="single" w:sz="12" w:space="0" w:color="000000"/>
            </w:tcBorders>
            <w:shd w:val="clear" w:color="auto" w:fill="auto"/>
          </w:tcPr>
          <w:p w:rsidR="00427F27" w:rsidRPr="004D506B" w:rsidRDefault="00427F27" w:rsidP="009869F7">
            <w:pPr>
              <w:spacing w:after="0" w:line="240" w:lineRule="auto"/>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Pôles</w:t>
            </w:r>
          </w:p>
        </w:tc>
        <w:tc>
          <w:tcPr>
            <w:tcW w:w="2392" w:type="dxa"/>
            <w:tcBorders>
              <w:bottom w:val="single" w:sz="12" w:space="0" w:color="000000"/>
            </w:tcBorders>
            <w:shd w:val="clear" w:color="auto" w:fill="auto"/>
          </w:tcPr>
          <w:p w:rsidR="00427F27" w:rsidRPr="004D506B" w:rsidRDefault="00427F27" w:rsidP="009869F7">
            <w:pPr>
              <w:spacing w:after="0" w:line="240" w:lineRule="auto"/>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Composantes</w:t>
            </w:r>
          </w:p>
        </w:tc>
        <w:tc>
          <w:tcPr>
            <w:tcW w:w="2393" w:type="dxa"/>
            <w:tcBorders>
              <w:bottom w:val="single" w:sz="12" w:space="0" w:color="000000"/>
            </w:tcBorders>
            <w:shd w:val="clear" w:color="auto" w:fill="auto"/>
          </w:tcPr>
          <w:p w:rsidR="00427F27" w:rsidRPr="004D506B" w:rsidRDefault="00427F27" w:rsidP="009869F7">
            <w:pPr>
              <w:spacing w:after="0" w:line="240" w:lineRule="auto"/>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Caractéristiques à étudier</w:t>
            </w:r>
          </w:p>
        </w:tc>
        <w:tc>
          <w:tcPr>
            <w:tcW w:w="2393" w:type="dxa"/>
            <w:tcBorders>
              <w:bottom w:val="single" w:sz="12" w:space="0" w:color="000000"/>
            </w:tcBorders>
            <w:shd w:val="clear" w:color="auto" w:fill="auto"/>
          </w:tcPr>
          <w:p w:rsidR="00427F27" w:rsidRPr="004D506B" w:rsidRDefault="00427F27" w:rsidP="009869F7">
            <w:pPr>
              <w:spacing w:after="0" w:line="240" w:lineRule="auto"/>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Produits de l’analyste</w:t>
            </w:r>
          </w:p>
        </w:tc>
      </w:tr>
      <w:tr w:rsidR="00427F27" w:rsidRPr="004D506B" w:rsidTr="009869F7">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Territoire et ressources</w:t>
            </w:r>
          </w:p>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(Systèmes de cultures)</w:t>
            </w: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Structure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Unités de ressources fourragères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Carte</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Répartition – surfaces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Production primaire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roofErr w:type="spellStart"/>
            <w:r w:rsidRPr="004D506B">
              <w:rPr>
                <w:rFonts w:ascii="Times New Roman" w:eastAsia="Times New Roman" w:hAnsi="Times New Roman"/>
                <w:sz w:val="20"/>
                <w:szCs w:val="20"/>
                <w:lang w:eastAsia="fr-FR"/>
              </w:rPr>
              <w:t>Phytomasse</w:t>
            </w:r>
            <w:proofErr w:type="spellEnd"/>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Composition chimique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Valeur alimentaire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Utilisation par l’animal</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Accessibilité</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Charge</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Appétibilité</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Carte d’utilisation</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roofErr w:type="spellStart"/>
            <w:r w:rsidRPr="004D506B">
              <w:rPr>
                <w:rFonts w:ascii="Times New Roman" w:eastAsia="Times New Roman" w:hAnsi="Times New Roman"/>
                <w:sz w:val="20"/>
                <w:szCs w:val="20"/>
                <w:lang w:eastAsia="fr-FR"/>
              </w:rPr>
              <w:t>Ingestibilité</w:t>
            </w:r>
            <w:proofErr w:type="spellEnd"/>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Evolution dans le temps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 xml:space="preserve">Variations </w:t>
            </w:r>
            <w:proofErr w:type="spellStart"/>
            <w:r w:rsidRPr="004D506B">
              <w:rPr>
                <w:rFonts w:ascii="Times New Roman" w:eastAsia="Times New Roman" w:hAnsi="Times New Roman"/>
                <w:sz w:val="20"/>
                <w:szCs w:val="20"/>
                <w:lang w:eastAsia="fr-FR"/>
              </w:rPr>
              <w:t>saisonières</w:t>
            </w:r>
            <w:proofErr w:type="spellEnd"/>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Suivi des pâturages</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Variations inter annuelles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Reproduction de l’éco système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Interface</w:t>
            </w:r>
          </w:p>
        </w:tc>
        <w:tc>
          <w:tcPr>
            <w:tcW w:w="4785" w:type="dxa"/>
            <w:gridSpan w:val="2"/>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Comportement alimentaire et spatial</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Bilan fourrager</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p>
        </w:tc>
        <w:tc>
          <w:tcPr>
            <w:tcW w:w="4785" w:type="dxa"/>
            <w:gridSpan w:val="2"/>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Bilans : matière organique ; fertilité (liaison avec le système de cultures)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Typologie des surfaces (modes d’utilisation)</w:t>
            </w:r>
          </w:p>
        </w:tc>
      </w:tr>
      <w:tr w:rsidR="00427F27" w:rsidRPr="004D506B" w:rsidTr="009869F7">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Troupeau</w:t>
            </w:r>
          </w:p>
        </w:tc>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Etat</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Espèces, race, type génétique</w:t>
            </w:r>
          </w:p>
        </w:tc>
        <w:tc>
          <w:tcPr>
            <w:tcW w:w="2393"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Pyramide des âges</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Effectif</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Composition, structure</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Caractéristiques dynamiques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Reproduction (fertilité, fécondité, …)</w:t>
            </w:r>
          </w:p>
        </w:tc>
        <w:tc>
          <w:tcPr>
            <w:tcW w:w="2393"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Productivité numérique</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Mortalité</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Exploitation et croît</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Animal (état individuel)</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Etat sanitaire</w:t>
            </w:r>
          </w:p>
        </w:tc>
        <w:tc>
          <w:tcPr>
            <w:tcW w:w="2393"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Critères de sélection</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Stade physiologique</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Etat de développement</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Performances individuelles</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Conduite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Du troupeau</w:t>
            </w:r>
          </w:p>
        </w:tc>
        <w:tc>
          <w:tcPr>
            <w:tcW w:w="2393"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Calendrier</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De l’alimentation</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De la reproduction</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Production</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Viande, lait, laine</w:t>
            </w:r>
          </w:p>
        </w:tc>
        <w:tc>
          <w:tcPr>
            <w:tcW w:w="2393"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Produits animaux</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Fumier, travail, transport</w:t>
            </w:r>
          </w:p>
        </w:tc>
        <w:tc>
          <w:tcPr>
            <w:tcW w:w="2393"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Interface</w:t>
            </w:r>
          </w:p>
        </w:tc>
        <w:tc>
          <w:tcPr>
            <w:tcW w:w="4785" w:type="dxa"/>
            <w:gridSpan w:val="2"/>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Pratiques- soins, conduite, savoir-faire rôle du cheptel (économique, culturel, religieux) modes de valorisation</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Diversité des produits</w:t>
            </w:r>
          </w:p>
        </w:tc>
      </w:tr>
      <w:tr w:rsidR="00427F27" w:rsidRPr="004D506B" w:rsidTr="009869F7">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L’éleveur</w:t>
            </w: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Ethnie, famille (histoire, projets)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Logique socio-économique</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4785" w:type="dxa"/>
            <w:gridSpan w:val="2"/>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Organisation de l’élevage différents agents, fonctions, centres de décision, organisation du travail ; famille, autres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Organisation sociale</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Besoins, revenus, autres activités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Budgets</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Relations avec la communauté rurale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Organisation globale</w:t>
            </w: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2"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r w:rsidRPr="004D506B">
              <w:rPr>
                <w:rFonts w:ascii="Times New Roman" w:eastAsia="Times New Roman" w:hAnsi="Times New Roman"/>
                <w:sz w:val="20"/>
                <w:szCs w:val="20"/>
                <w:lang w:eastAsia="fr-FR"/>
              </w:rPr>
              <w:t>Services de l’élevage et autres intervenants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sz w:val="20"/>
                <w:szCs w:val="20"/>
                <w:lang w:eastAsia="fr-FR"/>
              </w:rPr>
            </w:pPr>
          </w:p>
        </w:tc>
      </w:tr>
      <w:tr w:rsidR="00427F27" w:rsidRPr="004D506B" w:rsidTr="009869F7">
        <w:tc>
          <w:tcPr>
            <w:tcW w:w="2392" w:type="dxa"/>
            <w:vMerge w:val="restart"/>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Interface</w:t>
            </w:r>
          </w:p>
        </w:tc>
        <w:tc>
          <w:tcPr>
            <w:tcW w:w="4785" w:type="dxa"/>
            <w:gridSpan w:val="2"/>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Organisation foncière, gestion de l’espace et des pâturages</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p>
        </w:tc>
      </w:tr>
      <w:tr w:rsidR="00427F27" w:rsidRPr="004D506B" w:rsidTr="009869F7">
        <w:tc>
          <w:tcPr>
            <w:tcW w:w="2392" w:type="dxa"/>
            <w:vMerge/>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p>
        </w:tc>
        <w:tc>
          <w:tcPr>
            <w:tcW w:w="4785" w:type="dxa"/>
            <w:gridSpan w:val="2"/>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r w:rsidRPr="004D506B">
              <w:rPr>
                <w:rFonts w:ascii="Times New Roman" w:eastAsia="Times New Roman" w:hAnsi="Times New Roman"/>
                <w:b/>
                <w:i/>
                <w:sz w:val="20"/>
                <w:szCs w:val="20"/>
                <w:lang w:eastAsia="fr-FR"/>
              </w:rPr>
              <w:t>Stratégie : transhumance, fumure</w:t>
            </w:r>
          </w:p>
        </w:tc>
        <w:tc>
          <w:tcPr>
            <w:tcW w:w="2393" w:type="dxa"/>
            <w:shd w:val="clear" w:color="auto" w:fill="auto"/>
          </w:tcPr>
          <w:p w:rsidR="00427F27" w:rsidRPr="004D506B" w:rsidRDefault="00427F27" w:rsidP="009869F7">
            <w:pPr>
              <w:spacing w:after="0" w:line="240" w:lineRule="auto"/>
              <w:rPr>
                <w:rFonts w:ascii="Times New Roman" w:eastAsia="Times New Roman" w:hAnsi="Times New Roman"/>
                <w:b/>
                <w:i/>
                <w:sz w:val="20"/>
                <w:szCs w:val="20"/>
                <w:lang w:eastAsia="fr-FR"/>
              </w:rPr>
            </w:pPr>
          </w:p>
        </w:tc>
      </w:tr>
    </w:tbl>
    <w:p w:rsidR="00427F27" w:rsidRPr="004D506B" w:rsidRDefault="00427F27" w:rsidP="00427F27">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Une intervention appropriée et pertinente dans un système d’élevage devrait être précédée d’un diagnostic complet sur les ressources disponibles (territoire et espace, troupeau et éleveur).</w:t>
      </w:r>
    </w:p>
    <w:p w:rsidR="00427F27" w:rsidRPr="004D506B" w:rsidRDefault="00427F27" w:rsidP="00427F27">
      <w:pPr>
        <w:keepNext/>
        <w:numPr>
          <w:ilvl w:val="1"/>
          <w:numId w:val="0"/>
        </w:numPr>
        <w:spacing w:before="240" w:after="240" w:line="240" w:lineRule="auto"/>
        <w:ind w:left="720" w:hanging="720"/>
        <w:outlineLvl w:val="1"/>
        <w:rPr>
          <w:rFonts w:ascii="Times New Roman" w:eastAsia="Times New Roman" w:hAnsi="Times New Roman"/>
          <w:b/>
          <w:bCs/>
          <w:iCs/>
          <w:sz w:val="32"/>
          <w:szCs w:val="28"/>
          <w:lang w:eastAsia="fr-FR"/>
        </w:rPr>
      </w:pPr>
      <w:bookmarkStart w:id="4" w:name="_Toc220380042"/>
      <w:r w:rsidRPr="004D506B">
        <w:rPr>
          <w:rFonts w:ascii="Times New Roman" w:eastAsia="Times New Roman" w:hAnsi="Times New Roman"/>
          <w:b/>
          <w:bCs/>
          <w:iCs/>
          <w:sz w:val="32"/>
          <w:szCs w:val="28"/>
          <w:lang w:eastAsia="fr-FR"/>
        </w:rPr>
        <w:t>L’amélioration de la gestion des élevages</w:t>
      </w:r>
      <w:bookmarkEnd w:id="4"/>
    </w:p>
    <w:p w:rsidR="00427F27" w:rsidRPr="004D506B" w:rsidRDefault="00427F27" w:rsidP="00427F27">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L’amélioration de la gestion des troupeaux obéit en général à trois axes majeurs : l’alimentation, la santé et les races.</w:t>
      </w:r>
    </w:p>
    <w:p w:rsidR="00427F27" w:rsidRPr="004D506B" w:rsidRDefault="00427F27" w:rsidP="00427F27">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5" w:name="_Toc220380043"/>
      <w:r w:rsidRPr="004D506B">
        <w:rPr>
          <w:rFonts w:ascii="Times New Roman" w:eastAsia="Times New Roman" w:hAnsi="Times New Roman"/>
          <w:bCs/>
          <w:sz w:val="28"/>
          <w:szCs w:val="28"/>
          <w:lang w:eastAsia="fr-FR"/>
        </w:rPr>
        <w:t>L’alimentation</w:t>
      </w:r>
      <w:bookmarkEnd w:id="5"/>
    </w:p>
    <w:p w:rsidR="00427F27" w:rsidRPr="004D506B" w:rsidRDefault="00427F27" w:rsidP="00427F27">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 respect des besoins énergétiques, azotés, minéraux et vitaminiques des animaux, permet d’obtenir des performances optimales. Ces besoins correspondent aux dépenses physiologiques indispensables pour l’entretien et les productions (croissance, engraissement, lait, travail). C’est au travers de l’alimentation que se réalise premièrement l’intégration entre agriculture et élevage.</w:t>
      </w:r>
    </w:p>
    <w:p w:rsidR="00427F27" w:rsidRPr="004D506B" w:rsidRDefault="00427F27" w:rsidP="00427F27">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6" w:name="_Toc220380044"/>
      <w:r w:rsidRPr="004D506B">
        <w:rPr>
          <w:rFonts w:ascii="Times New Roman" w:eastAsia="Times New Roman" w:hAnsi="Times New Roman"/>
          <w:bCs/>
          <w:sz w:val="28"/>
          <w:szCs w:val="28"/>
          <w:lang w:eastAsia="fr-FR"/>
        </w:rPr>
        <w:t>La santé</w:t>
      </w:r>
      <w:bookmarkEnd w:id="6"/>
    </w:p>
    <w:p w:rsidR="00427F27" w:rsidRPr="004D506B" w:rsidRDefault="00427F27" w:rsidP="00427F27">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Un animal doit être en bonne santé pour extérioriser ses performances. Toute maladie atteint l’intégrité de l’organisme et perturbe plus ou moins les capacités de production. L’éleveur devra par conséquent établir et applique un programme de prophylaxie adéquat et pouvoir intervenir de manière opportune </w:t>
      </w:r>
      <w:proofErr w:type="spellStart"/>
      <w:r w:rsidRPr="004D506B">
        <w:rPr>
          <w:rFonts w:ascii="Times New Roman" w:eastAsia="Times New Roman" w:hAnsi="Times New Roman"/>
          <w:sz w:val="24"/>
          <w:szCs w:val="24"/>
          <w:lang w:eastAsia="fr-FR"/>
        </w:rPr>
        <w:t>quant</w:t>
      </w:r>
      <w:proofErr w:type="spellEnd"/>
      <w:r w:rsidRPr="004D506B">
        <w:rPr>
          <w:rFonts w:ascii="Times New Roman" w:eastAsia="Times New Roman" w:hAnsi="Times New Roman"/>
          <w:sz w:val="24"/>
          <w:szCs w:val="24"/>
          <w:lang w:eastAsia="fr-FR"/>
        </w:rPr>
        <w:t xml:space="preserve"> le troupeau est attaqué.</w:t>
      </w:r>
    </w:p>
    <w:p w:rsidR="00427F27" w:rsidRPr="004D506B" w:rsidRDefault="00427F27" w:rsidP="00427F27">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7" w:name="_Toc220380045"/>
      <w:r w:rsidRPr="004D506B">
        <w:rPr>
          <w:rFonts w:ascii="Times New Roman" w:eastAsia="Times New Roman" w:hAnsi="Times New Roman"/>
          <w:bCs/>
          <w:sz w:val="28"/>
          <w:szCs w:val="28"/>
          <w:lang w:eastAsia="fr-FR"/>
        </w:rPr>
        <w:t>Les races</w:t>
      </w:r>
      <w:bookmarkEnd w:id="7"/>
    </w:p>
    <w:p w:rsidR="00427F27" w:rsidRPr="004D506B" w:rsidRDefault="00427F27" w:rsidP="00427F27">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L’amélioration de l’élevage par l’introduction de nouvelles races ou de caractères génétiques est une opération relativement complexe et difficile à réaliser au niveau de l’exploitation agricole. Elle permet de disposer d’animaux de performances meilleures mais en même temps </w:t>
      </w:r>
      <w:proofErr w:type="spellStart"/>
      <w:r w:rsidRPr="004D506B">
        <w:rPr>
          <w:rFonts w:ascii="Times New Roman" w:eastAsia="Times New Roman" w:hAnsi="Times New Roman"/>
          <w:sz w:val="24"/>
          <w:szCs w:val="24"/>
          <w:lang w:eastAsia="fr-FR"/>
        </w:rPr>
        <w:t>requièrt</w:t>
      </w:r>
      <w:proofErr w:type="spellEnd"/>
      <w:r w:rsidRPr="004D506B">
        <w:rPr>
          <w:rFonts w:ascii="Times New Roman" w:eastAsia="Times New Roman" w:hAnsi="Times New Roman"/>
          <w:sz w:val="24"/>
          <w:szCs w:val="24"/>
          <w:lang w:eastAsia="fr-FR"/>
        </w:rPr>
        <w:t xml:space="preserve"> un niveau d’intensification plus accru et exigeant.</w:t>
      </w:r>
    </w:p>
    <w:p w:rsidR="00FB42D1" w:rsidRDefault="00FB42D1"/>
    <w:sectPr w:rsidR="00FB4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E7425"/>
    <w:multiLevelType w:val="hybridMultilevel"/>
    <w:tmpl w:val="955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27"/>
    <w:rsid w:val="000F5007"/>
    <w:rsid w:val="00427F27"/>
    <w:rsid w:val="00E323F0"/>
    <w:rsid w:val="00FB4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9EBB6-0C8D-44FA-9C07-5A5CE54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27"/>
    <w:rPr>
      <w:rFonts w:ascii="Calibri" w:eastAsia="Calibri" w:hAnsi="Calibri" w:cs="Times New Roman"/>
    </w:rPr>
  </w:style>
  <w:style w:type="paragraph" w:styleId="Titre1">
    <w:name w:val="heading 1"/>
    <w:basedOn w:val="Normal"/>
    <w:next w:val="Normal"/>
    <w:link w:val="Titre1Car"/>
    <w:uiPriority w:val="9"/>
    <w:qFormat/>
    <w:rsid w:val="00427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VerdanaBasSimpleAutomatique05ptpaisse">
    <w:name w:val="Style Titre 1 + Verdana Bas: (Simple Automatique  05 pt Épaisse..."/>
    <w:basedOn w:val="Titre1"/>
    <w:autoRedefine/>
    <w:rsid w:val="000F5007"/>
    <w:pPr>
      <w:keepLines w:val="0"/>
      <w:pBdr>
        <w:bottom w:val="single" w:sz="4" w:space="1" w:color="auto"/>
      </w:pBdr>
      <w:spacing w:after="60" w:line="240" w:lineRule="auto"/>
      <w:ind w:left="360"/>
    </w:pPr>
    <w:rPr>
      <w:rFonts w:ascii="Times New Roman" w:eastAsia="Times New Roman" w:hAnsi="Times New Roman" w:cs="Times New Roman"/>
      <w:b/>
      <w:bCs/>
      <w:color w:val="auto"/>
      <w:kern w:val="32"/>
      <w:sz w:val="28"/>
      <w:szCs w:val="28"/>
      <w:lang w:eastAsia="fr-FR"/>
    </w:rPr>
  </w:style>
  <w:style w:type="character" w:customStyle="1" w:styleId="Titre1Car">
    <w:name w:val="Titre 1 Car"/>
    <w:basedOn w:val="Policepardfaut"/>
    <w:link w:val="Titre1"/>
    <w:uiPriority w:val="9"/>
    <w:rsid w:val="00427F27"/>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E32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2018-11-28T17:58:00Z</dcterms:created>
  <dcterms:modified xsi:type="dcterms:W3CDTF">2018-12-06T17:12:00Z</dcterms:modified>
</cp:coreProperties>
</file>